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AB70" w14:textId="25E327AE" w:rsidR="00D40CD0" w:rsidRDefault="001446A5">
      <w:pPr>
        <w:pStyle w:val="Standard"/>
        <w:ind w:right="-81"/>
      </w:pPr>
      <w:r>
        <w:rPr>
          <w:rFonts w:ascii="Malgun Gothic" w:hAnsi="Malgun Gothic" w:cs="Arial"/>
          <w:b/>
          <w:bCs/>
          <w:sz w:val="22"/>
          <w:szCs w:val="22"/>
        </w:rPr>
        <w:t>Processo:</w:t>
      </w:r>
      <w:r>
        <w:rPr>
          <w:rFonts w:ascii="Malgun Gothic" w:hAnsi="Malgun Gothic" w:cs="Arial"/>
          <w:sz w:val="22"/>
          <w:szCs w:val="22"/>
        </w:rPr>
        <w:t xml:space="preserve"> </w:t>
      </w:r>
      <w:proofErr w:type="spellStart"/>
      <w:r w:rsidR="005C513C">
        <w:rPr>
          <w:rFonts w:ascii="Malgun Gothic" w:hAnsi="Malgun Gothic" w:cs="Arial"/>
          <w:sz w:val="22"/>
          <w:szCs w:val="22"/>
        </w:rPr>
        <w:t>xxx</w:t>
      </w:r>
      <w:proofErr w:type="spellEnd"/>
    </w:p>
    <w:p w14:paraId="0D31D469" w14:textId="40BB3847" w:rsidR="00D40CD0" w:rsidRDefault="001446A5">
      <w:pPr>
        <w:pStyle w:val="Standard"/>
        <w:ind w:right="-81"/>
      </w:pPr>
      <w:r>
        <w:rPr>
          <w:rFonts w:ascii="Malgun Gothic" w:hAnsi="Malgun Gothic" w:cs="Arial"/>
          <w:b/>
          <w:bCs/>
          <w:sz w:val="22"/>
          <w:szCs w:val="22"/>
        </w:rPr>
        <w:t>Mandado:</w:t>
      </w:r>
      <w:r>
        <w:rPr>
          <w:rFonts w:ascii="Malgun Gothic" w:hAnsi="Malgun Gothic" w:cs="Arial"/>
          <w:sz w:val="22"/>
          <w:szCs w:val="22"/>
        </w:rPr>
        <w:t xml:space="preserve"> </w:t>
      </w:r>
      <w:proofErr w:type="spellStart"/>
      <w:r w:rsidR="005C513C">
        <w:rPr>
          <w:rFonts w:ascii="Malgun Gothic" w:hAnsi="Malgun Gothic" w:cs="Arial"/>
          <w:sz w:val="22"/>
          <w:szCs w:val="22"/>
        </w:rPr>
        <w:t>xxxx</w:t>
      </w:r>
      <w:proofErr w:type="spellEnd"/>
    </w:p>
    <w:p w14:paraId="4BAE8920" w14:textId="784F3F77" w:rsidR="00D40CD0" w:rsidRDefault="00473341">
      <w:pPr>
        <w:pStyle w:val="Standard"/>
        <w:ind w:right="-81"/>
        <w:jc w:val="right"/>
        <w:rPr>
          <w:rFonts w:ascii="Malgun Gothic" w:hAnsi="Malgun Gothic" w:cs="Arial"/>
          <w:b/>
          <w:bCs/>
          <w:sz w:val="22"/>
          <w:szCs w:val="22"/>
          <w:u w:val="single"/>
        </w:rPr>
      </w:pPr>
      <w:r>
        <w:rPr>
          <w:rFonts w:ascii="Malgun Gothic" w:hAnsi="Malgun Gothic" w:cs="Arial"/>
          <w:b/>
          <w:bCs/>
          <w:sz w:val="22"/>
          <w:szCs w:val="22"/>
          <w:u w:val="single"/>
        </w:rPr>
        <w:t>Não cumprido</w:t>
      </w:r>
    </w:p>
    <w:p w14:paraId="0CBB6E56" w14:textId="77777777" w:rsidR="00D40CD0" w:rsidRDefault="001446A5">
      <w:pPr>
        <w:pStyle w:val="Standard"/>
        <w:ind w:right="-81"/>
        <w:jc w:val="center"/>
        <w:rPr>
          <w:rFonts w:ascii="Malgun Gothic" w:hAnsi="Malgun Gothic" w:cs="Arial"/>
          <w:b/>
          <w:sz w:val="22"/>
          <w:szCs w:val="22"/>
        </w:rPr>
      </w:pPr>
      <w:r>
        <w:rPr>
          <w:rFonts w:ascii="Malgun Gothic" w:hAnsi="Malgun Gothic" w:cs="Arial"/>
          <w:b/>
          <w:sz w:val="22"/>
          <w:szCs w:val="22"/>
        </w:rPr>
        <w:t>CERTIDÃO</w:t>
      </w:r>
    </w:p>
    <w:p w14:paraId="0D849FE8" w14:textId="77777777" w:rsidR="00D40CD0" w:rsidRDefault="00D40CD0">
      <w:pPr>
        <w:pStyle w:val="Standard"/>
        <w:ind w:right="-81"/>
        <w:jc w:val="both"/>
        <w:rPr>
          <w:rFonts w:ascii="Malgun Gothic" w:hAnsi="Malgun Gothic" w:cs="Arial"/>
          <w:b/>
          <w:sz w:val="22"/>
          <w:szCs w:val="22"/>
        </w:rPr>
      </w:pPr>
    </w:p>
    <w:p w14:paraId="11949A33" w14:textId="11F0CB0A" w:rsidR="005E2F90" w:rsidRDefault="001446A5" w:rsidP="005E2F90">
      <w:pPr>
        <w:pStyle w:val="Standard"/>
        <w:ind w:right="-81" w:firstLine="1418"/>
        <w:jc w:val="both"/>
        <w:rPr>
          <w:rFonts w:ascii="Malgun Gothic" w:hAnsi="Malgun Gothic" w:cs="Arial"/>
          <w:sz w:val="22"/>
          <w:szCs w:val="22"/>
        </w:rPr>
      </w:pPr>
      <w:r>
        <w:rPr>
          <w:rFonts w:ascii="Malgun Gothic" w:hAnsi="Malgun Gothic" w:cs="Arial"/>
          <w:sz w:val="22"/>
          <w:szCs w:val="22"/>
        </w:rPr>
        <w:t>Certifico</w:t>
      </w:r>
      <w:r w:rsidR="00473341">
        <w:rPr>
          <w:rFonts w:ascii="Malgun Gothic" w:hAnsi="Malgun Gothic" w:cs="Arial"/>
          <w:sz w:val="22"/>
          <w:szCs w:val="22"/>
        </w:rPr>
        <w:t xml:space="preserve"> que devolvo o presente mandado, não cumprido, por não haver previsão legal de condução de testemunha entre comarcas</w:t>
      </w:r>
      <w:r w:rsidR="005E2F90">
        <w:rPr>
          <w:rFonts w:ascii="Malgun Gothic" w:hAnsi="Malgun Gothic" w:cs="Arial"/>
          <w:sz w:val="22"/>
          <w:szCs w:val="22"/>
        </w:rPr>
        <w:t>, conforme dispõe o art. 596, 3º da Consolidação Normativa Judicial:</w:t>
      </w:r>
    </w:p>
    <w:p w14:paraId="554CB0DE" w14:textId="77777777" w:rsidR="005E2F90" w:rsidRDefault="005E2F90" w:rsidP="005E2F90">
      <w:pPr>
        <w:pStyle w:val="NormalWeb"/>
        <w:shd w:val="clear" w:color="auto" w:fill="FFFFFF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5E2F90">
        <w:rPr>
          <w:rFonts w:ascii="Arial" w:hAnsi="Arial" w:cs="Arial"/>
          <w:color w:val="000000"/>
          <w:sz w:val="20"/>
          <w:szCs w:val="20"/>
        </w:rPr>
        <w:t xml:space="preserve">Art. 596 – Não dispondo a lei de outro modo, as intimações serão feitas às partes, aos seus representantes legais e aos advogados pelo correio, ou, se presente em Cartório, diretamente pelo Escrivão ou chefe de secretaria.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265E2544" w14:textId="21DA787A" w:rsidR="005E2F90" w:rsidRPr="005E2F90" w:rsidRDefault="005E2F90" w:rsidP="005E2F90">
      <w:pPr>
        <w:pStyle w:val="NormalWeb"/>
        <w:shd w:val="clear" w:color="auto" w:fill="FFFFFF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5E2F90">
        <w:rPr>
          <w:rFonts w:ascii="Arial" w:hAnsi="Arial" w:cs="Arial"/>
          <w:color w:val="000000"/>
          <w:sz w:val="20"/>
          <w:szCs w:val="20"/>
        </w:rPr>
        <w:t>§ 3º – A comunicação de atos processuais entre Comarcas integradas não autoriza a condução coercitiva de testemunha que eventualmente desatenda ao chamamento judicial.</w:t>
      </w:r>
    </w:p>
    <w:p w14:paraId="78AE1FEF" w14:textId="77777777" w:rsidR="005E2F90" w:rsidRDefault="005E2F90" w:rsidP="005E2F90">
      <w:pPr>
        <w:pStyle w:val="Standard"/>
        <w:ind w:right="-81" w:firstLine="1418"/>
        <w:jc w:val="both"/>
        <w:rPr>
          <w:rFonts w:ascii="Malgun Gothic" w:hAnsi="Malgun Gothic" w:cs="Arial"/>
          <w:sz w:val="22"/>
          <w:szCs w:val="22"/>
        </w:rPr>
      </w:pPr>
    </w:p>
    <w:p w14:paraId="3ABF2E7E" w14:textId="6400222D" w:rsidR="0001642E" w:rsidRDefault="0001642E">
      <w:pPr>
        <w:pStyle w:val="Standard"/>
        <w:ind w:right="-81" w:firstLine="1418"/>
        <w:jc w:val="both"/>
        <w:rPr>
          <w:rFonts w:ascii="Malgun Gothic" w:hAnsi="Malgun Gothic" w:cs="Arial"/>
          <w:sz w:val="22"/>
          <w:szCs w:val="22"/>
        </w:rPr>
      </w:pPr>
      <w:r w:rsidRPr="0001642E">
        <w:rPr>
          <w:rFonts w:ascii="Malgun Gothic" w:hAnsi="Malgun Gothic" w:cs="Arial"/>
          <w:sz w:val="22"/>
          <w:szCs w:val="22"/>
        </w:rPr>
        <w:t>O artigo 222 do Código de Processo Penal, inserto no capítulo que trata das testemunhas e atinente ao título da prova, dispõe que </w:t>
      </w:r>
      <w:r w:rsidRPr="0001642E">
        <w:rPr>
          <w:rFonts w:ascii="Malgun Gothic" w:hAnsi="Malgun Gothic" w:cs="Arial"/>
          <w:i/>
          <w:iCs/>
          <w:sz w:val="22"/>
          <w:szCs w:val="22"/>
        </w:rPr>
        <w:t xml:space="preserve">a testemunha que morar fora da jurisdição do juiz </w:t>
      </w:r>
      <w:r w:rsidRPr="0001642E">
        <w:rPr>
          <w:rFonts w:ascii="Malgun Gothic" w:hAnsi="Malgun Gothic" w:cs="Arial"/>
          <w:b/>
          <w:bCs/>
          <w:i/>
          <w:iCs/>
          <w:sz w:val="22"/>
          <w:szCs w:val="22"/>
        </w:rPr>
        <w:t>será inquirida pelo juiz do lugar de sua residência</w:t>
      </w:r>
      <w:r w:rsidRPr="0001642E">
        <w:rPr>
          <w:rFonts w:ascii="Malgun Gothic" w:hAnsi="Malgun Gothic" w:cs="Arial"/>
          <w:i/>
          <w:iCs/>
          <w:sz w:val="22"/>
          <w:szCs w:val="22"/>
        </w:rPr>
        <w:t>, expedindo-se, para esse fim, carta precatória, com prazo razoável, intimadas as partes</w:t>
      </w:r>
      <w:r>
        <w:rPr>
          <w:rFonts w:ascii="Malgun Gothic" w:hAnsi="Malgun Gothic" w:cs="Arial"/>
          <w:sz w:val="22"/>
          <w:szCs w:val="22"/>
        </w:rPr>
        <w:t>:</w:t>
      </w:r>
    </w:p>
    <w:p w14:paraId="64B9707C" w14:textId="77777777" w:rsidR="0001642E" w:rsidRPr="0001642E" w:rsidRDefault="0001642E" w:rsidP="0001642E">
      <w:pPr>
        <w:pStyle w:val="NormalWeb"/>
        <w:shd w:val="clear" w:color="auto" w:fill="FFFFFF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01642E">
        <w:rPr>
          <w:rFonts w:ascii="Arial" w:hAnsi="Arial" w:cs="Arial"/>
          <w:color w:val="000000"/>
          <w:sz w:val="20"/>
          <w:szCs w:val="20"/>
        </w:rPr>
        <w:t>Art. 222.  A testemunha que morar fora da jurisdição do juiz será inquirida pelo juiz do lugar de sua residência, expedindo-se, para esse fim, carta precatória, com prazo razoável, intimadas as partes.</w:t>
      </w:r>
    </w:p>
    <w:p w14:paraId="391D3417" w14:textId="77777777" w:rsidR="0001642E" w:rsidRPr="0001642E" w:rsidRDefault="0001642E" w:rsidP="0001642E">
      <w:pPr>
        <w:pStyle w:val="NormalWeb"/>
        <w:shd w:val="clear" w:color="auto" w:fill="FFFFFF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art222§1"/>
      <w:bookmarkEnd w:id="0"/>
      <w:r w:rsidRPr="0001642E">
        <w:rPr>
          <w:rFonts w:ascii="Arial" w:hAnsi="Arial" w:cs="Arial"/>
          <w:color w:val="000000"/>
          <w:sz w:val="20"/>
          <w:szCs w:val="20"/>
        </w:rPr>
        <w:t>§ 1</w:t>
      </w:r>
      <w:proofErr w:type="gramStart"/>
      <w:r w:rsidRPr="0001642E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01642E">
        <w:rPr>
          <w:rFonts w:ascii="Arial" w:hAnsi="Arial" w:cs="Arial"/>
          <w:color w:val="000000"/>
          <w:sz w:val="20"/>
          <w:szCs w:val="20"/>
        </w:rPr>
        <w:t>  A</w:t>
      </w:r>
      <w:proofErr w:type="gramEnd"/>
      <w:r w:rsidRPr="0001642E">
        <w:rPr>
          <w:rFonts w:ascii="Arial" w:hAnsi="Arial" w:cs="Arial"/>
          <w:color w:val="000000"/>
          <w:sz w:val="20"/>
          <w:szCs w:val="20"/>
        </w:rPr>
        <w:t xml:space="preserve"> expedição da precatória não suspenderá a instrução criminal.</w:t>
      </w:r>
    </w:p>
    <w:p w14:paraId="3064378A" w14:textId="77777777" w:rsidR="0001642E" w:rsidRPr="0001642E" w:rsidRDefault="0001642E" w:rsidP="0001642E">
      <w:pPr>
        <w:pStyle w:val="NormalWeb"/>
        <w:shd w:val="clear" w:color="auto" w:fill="FFFFFF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art222§4"/>
      <w:bookmarkEnd w:id="1"/>
      <w:r w:rsidRPr="0001642E">
        <w:rPr>
          <w:rFonts w:ascii="Arial" w:hAnsi="Arial" w:cs="Arial"/>
          <w:color w:val="000000"/>
          <w:sz w:val="20"/>
          <w:szCs w:val="20"/>
        </w:rPr>
        <w:t>§ 2</w:t>
      </w:r>
      <w:proofErr w:type="gramStart"/>
      <w:r w:rsidRPr="0001642E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01642E">
        <w:rPr>
          <w:rFonts w:ascii="Arial" w:hAnsi="Arial" w:cs="Arial"/>
          <w:color w:val="000000"/>
          <w:sz w:val="20"/>
          <w:szCs w:val="20"/>
        </w:rPr>
        <w:t>  Findo</w:t>
      </w:r>
      <w:proofErr w:type="gramEnd"/>
      <w:r w:rsidRPr="0001642E">
        <w:rPr>
          <w:rFonts w:ascii="Arial" w:hAnsi="Arial" w:cs="Arial"/>
          <w:color w:val="000000"/>
          <w:sz w:val="20"/>
          <w:szCs w:val="20"/>
        </w:rPr>
        <w:t xml:space="preserve"> o prazo marcado, poderá realizar-se o julgamento, mas, a todo tempo, a precatória, uma vez devolvida, será junta aos autos.</w:t>
      </w:r>
    </w:p>
    <w:p w14:paraId="0FB3732A" w14:textId="77777777" w:rsidR="0001642E" w:rsidRPr="0001642E" w:rsidRDefault="0001642E" w:rsidP="0001642E">
      <w:pPr>
        <w:pStyle w:val="NormalWeb"/>
        <w:shd w:val="clear" w:color="auto" w:fill="FFFFFF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art222§3"/>
      <w:bookmarkEnd w:id="2"/>
      <w:r w:rsidRPr="0001642E">
        <w:rPr>
          <w:rFonts w:ascii="Arial" w:hAnsi="Arial" w:cs="Arial"/>
          <w:color w:val="000000"/>
          <w:sz w:val="20"/>
          <w:szCs w:val="20"/>
        </w:rPr>
        <w:t>§ 3</w:t>
      </w:r>
      <w:proofErr w:type="gramStart"/>
      <w:r w:rsidRPr="0001642E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01642E">
        <w:rPr>
          <w:rFonts w:ascii="Arial" w:hAnsi="Arial" w:cs="Arial"/>
          <w:color w:val="000000"/>
          <w:sz w:val="20"/>
          <w:szCs w:val="20"/>
        </w:rPr>
        <w:t>  Na</w:t>
      </w:r>
      <w:proofErr w:type="gramEnd"/>
      <w:r w:rsidRPr="0001642E">
        <w:rPr>
          <w:rFonts w:ascii="Arial" w:hAnsi="Arial" w:cs="Arial"/>
          <w:color w:val="000000"/>
          <w:sz w:val="20"/>
          <w:szCs w:val="20"/>
        </w:rPr>
        <w:t xml:space="preserve"> hipótese prevista no </w:t>
      </w:r>
      <w:r w:rsidRPr="0001642E"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 w:rsidRPr="0001642E">
        <w:rPr>
          <w:rFonts w:ascii="Arial" w:hAnsi="Arial" w:cs="Arial"/>
          <w:color w:val="000000"/>
          <w:sz w:val="20"/>
          <w:szCs w:val="20"/>
        </w:rPr>
        <w:t> deste artigo, a oitiva de testemunha poderá ser realizada por meio de videoconferência ou outro recurso tecnológico de transmissão de sons e imagens em tempo real, permitida a presença do defensor e podendo ser realizada, inclusive, durante a realização da audiência de instrução e julgamento.   </w:t>
      </w:r>
    </w:p>
    <w:p w14:paraId="31292B5C" w14:textId="4650C71A" w:rsidR="0001642E" w:rsidRDefault="0001642E">
      <w:pPr>
        <w:pStyle w:val="Standard"/>
        <w:ind w:right="-81" w:firstLine="1418"/>
        <w:jc w:val="both"/>
        <w:rPr>
          <w:rFonts w:ascii="Malgun Gothic" w:hAnsi="Malgun Gothic" w:cs="Arial"/>
          <w:sz w:val="22"/>
          <w:szCs w:val="22"/>
        </w:rPr>
      </w:pPr>
      <w:r>
        <w:rPr>
          <w:rFonts w:ascii="Malgun Gothic" w:hAnsi="Malgun Gothic" w:cs="Arial"/>
          <w:sz w:val="22"/>
          <w:szCs w:val="22"/>
        </w:rPr>
        <w:lastRenderedPageBreak/>
        <w:t xml:space="preserve">Nesse caso, a condução da testemunha </w:t>
      </w:r>
      <w:r w:rsidR="00714D02">
        <w:rPr>
          <w:rFonts w:ascii="Malgun Gothic" w:hAnsi="Malgun Gothic" w:cs="Arial"/>
          <w:sz w:val="22"/>
          <w:szCs w:val="22"/>
        </w:rPr>
        <w:t>pode</w:t>
      </w:r>
      <w:r>
        <w:rPr>
          <w:rFonts w:ascii="Malgun Gothic" w:hAnsi="Malgun Gothic" w:cs="Arial"/>
          <w:sz w:val="22"/>
          <w:szCs w:val="22"/>
        </w:rPr>
        <w:t xml:space="preserve"> se dar para que</w:t>
      </w:r>
      <w:r w:rsidR="00714D02">
        <w:rPr>
          <w:rFonts w:ascii="Malgun Gothic" w:hAnsi="Malgun Gothic" w:cs="Arial"/>
          <w:sz w:val="22"/>
          <w:szCs w:val="22"/>
        </w:rPr>
        <w:t xml:space="preserve"> esta</w:t>
      </w:r>
      <w:r>
        <w:rPr>
          <w:rFonts w:ascii="Malgun Gothic" w:hAnsi="Malgun Gothic" w:cs="Arial"/>
          <w:sz w:val="22"/>
          <w:szCs w:val="22"/>
        </w:rPr>
        <w:t xml:space="preserve"> seja ouvida por carta precatória</w:t>
      </w:r>
      <w:r w:rsidR="00714D02">
        <w:rPr>
          <w:rFonts w:ascii="Malgun Gothic" w:hAnsi="Malgun Gothic" w:cs="Arial"/>
          <w:sz w:val="22"/>
          <w:szCs w:val="22"/>
        </w:rPr>
        <w:t>,</w:t>
      </w:r>
      <w:r>
        <w:rPr>
          <w:rFonts w:ascii="Malgun Gothic" w:hAnsi="Malgun Gothic" w:cs="Arial"/>
          <w:sz w:val="22"/>
          <w:szCs w:val="22"/>
        </w:rPr>
        <w:t xml:space="preserve"> na sede do juízo da comarca em que reside, e não conduzida à comarca diversa</w:t>
      </w:r>
      <w:r w:rsidR="00714D02">
        <w:rPr>
          <w:rFonts w:ascii="Malgun Gothic" w:hAnsi="Malgun Gothic" w:cs="Arial"/>
          <w:sz w:val="22"/>
          <w:szCs w:val="22"/>
        </w:rPr>
        <w:t>. A</w:t>
      </w:r>
      <w:r>
        <w:rPr>
          <w:rFonts w:ascii="Malgun Gothic" w:hAnsi="Malgun Gothic" w:cs="Arial"/>
          <w:sz w:val="22"/>
          <w:szCs w:val="22"/>
        </w:rPr>
        <w:t>lternativamente,</w:t>
      </w:r>
      <w:r w:rsidR="00714D02">
        <w:rPr>
          <w:rFonts w:ascii="Malgun Gothic" w:hAnsi="Malgun Gothic" w:cs="Arial"/>
          <w:sz w:val="22"/>
          <w:szCs w:val="22"/>
        </w:rPr>
        <w:t xml:space="preserve"> a testemunha pode ser ouvida</w:t>
      </w:r>
      <w:r>
        <w:rPr>
          <w:rFonts w:ascii="Malgun Gothic" w:hAnsi="Malgun Gothic" w:cs="Arial"/>
          <w:sz w:val="22"/>
          <w:szCs w:val="22"/>
        </w:rPr>
        <w:t xml:space="preserve"> por meio de videoconferência, conforme dispõe o parágrafo terceiro</w:t>
      </w:r>
      <w:r w:rsidR="00714D02">
        <w:rPr>
          <w:rFonts w:ascii="Malgun Gothic" w:hAnsi="Malgun Gothic" w:cs="Arial"/>
          <w:sz w:val="22"/>
          <w:szCs w:val="22"/>
        </w:rPr>
        <w:t>, ainda na comarca em que reside</w:t>
      </w:r>
      <w:r>
        <w:rPr>
          <w:rFonts w:ascii="Malgun Gothic" w:hAnsi="Malgun Gothic" w:cs="Arial"/>
          <w:sz w:val="22"/>
          <w:szCs w:val="22"/>
        </w:rPr>
        <w:t xml:space="preserve">. </w:t>
      </w:r>
    </w:p>
    <w:p w14:paraId="75CD23E3" w14:textId="307523B2" w:rsidR="00685E1E" w:rsidRDefault="00685E1E" w:rsidP="001F1589">
      <w:pPr>
        <w:pStyle w:val="Standard"/>
        <w:ind w:right="-81" w:firstLine="1418"/>
        <w:jc w:val="both"/>
        <w:rPr>
          <w:rFonts w:ascii="Malgun Gothic" w:hAnsi="Malgun Gothic" w:cs="Arial"/>
          <w:sz w:val="22"/>
          <w:szCs w:val="22"/>
        </w:rPr>
      </w:pPr>
      <w:r>
        <w:rPr>
          <w:rFonts w:ascii="Malgun Gothic" w:hAnsi="Malgun Gothic" w:cs="Arial"/>
          <w:sz w:val="22"/>
          <w:szCs w:val="22"/>
        </w:rPr>
        <w:t>O art. 453 do Código de Processo Civil também dispõe:</w:t>
      </w:r>
    </w:p>
    <w:p w14:paraId="2870C0FB" w14:textId="77777777" w:rsidR="00685E1E" w:rsidRDefault="00685E1E" w:rsidP="00685E1E">
      <w:pPr>
        <w:pStyle w:val="NormalWeb"/>
        <w:ind w:left="2268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453. As testemunhas depõem, na audiência de instrução e julgamento, perante o juiz da causa, </w:t>
      </w:r>
      <w:r w:rsidRPr="00685E1E">
        <w:rPr>
          <w:rFonts w:ascii="Arial" w:hAnsi="Arial" w:cs="Arial"/>
          <w:b/>
          <w:bCs/>
          <w:color w:val="000000"/>
          <w:sz w:val="20"/>
          <w:szCs w:val="20"/>
        </w:rPr>
        <w:t>exceto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8A81396" w14:textId="77777777" w:rsidR="00685E1E" w:rsidRDefault="00685E1E" w:rsidP="00685E1E">
      <w:pPr>
        <w:pStyle w:val="NormalWeb"/>
        <w:ind w:left="2268"/>
        <w:jc w:val="both"/>
        <w:rPr>
          <w:color w:val="000000"/>
          <w:sz w:val="20"/>
          <w:szCs w:val="20"/>
        </w:rPr>
      </w:pPr>
      <w:bookmarkStart w:id="3" w:name="art453i"/>
      <w:bookmarkEnd w:id="3"/>
      <w:r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que prestam depoimento antecipadamente;</w:t>
      </w:r>
    </w:p>
    <w:p w14:paraId="33041006" w14:textId="77777777" w:rsidR="00685E1E" w:rsidRDefault="00685E1E" w:rsidP="00685E1E">
      <w:pPr>
        <w:pStyle w:val="NormalWeb"/>
        <w:ind w:left="2268"/>
        <w:jc w:val="both"/>
        <w:rPr>
          <w:color w:val="000000"/>
          <w:sz w:val="20"/>
          <w:szCs w:val="20"/>
        </w:rPr>
      </w:pPr>
      <w:bookmarkStart w:id="4" w:name="art453ii"/>
      <w:bookmarkEnd w:id="4"/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 w:rsidRPr="00685E1E">
        <w:rPr>
          <w:rFonts w:ascii="Arial" w:hAnsi="Arial" w:cs="Arial"/>
          <w:b/>
          <w:bCs/>
          <w:color w:val="000000"/>
          <w:sz w:val="20"/>
          <w:szCs w:val="20"/>
        </w:rPr>
        <w:t>as</w:t>
      </w:r>
      <w:proofErr w:type="gramEnd"/>
      <w:r w:rsidRPr="00685E1E">
        <w:rPr>
          <w:rFonts w:ascii="Arial" w:hAnsi="Arial" w:cs="Arial"/>
          <w:b/>
          <w:bCs/>
          <w:color w:val="000000"/>
          <w:sz w:val="20"/>
          <w:szCs w:val="20"/>
        </w:rPr>
        <w:t xml:space="preserve"> que são inquiridas por carta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DE7884D" w14:textId="77777777" w:rsidR="00685E1E" w:rsidRDefault="00685E1E" w:rsidP="00685E1E">
      <w:pPr>
        <w:pStyle w:val="NormalWeb"/>
        <w:ind w:left="2268"/>
        <w:jc w:val="both"/>
        <w:rPr>
          <w:color w:val="000000"/>
          <w:sz w:val="20"/>
          <w:szCs w:val="20"/>
        </w:rPr>
      </w:pPr>
      <w:bookmarkStart w:id="5" w:name="art453§1"/>
      <w:bookmarkEnd w:id="5"/>
      <w:r>
        <w:rPr>
          <w:rFonts w:ascii="Arial" w:hAnsi="Arial" w:cs="Arial"/>
          <w:color w:val="000000"/>
          <w:sz w:val="20"/>
          <w:szCs w:val="20"/>
        </w:rPr>
        <w:t xml:space="preserve">§ 1º </w:t>
      </w:r>
      <w:r w:rsidRPr="00685E1E">
        <w:rPr>
          <w:rFonts w:ascii="Arial" w:hAnsi="Arial" w:cs="Arial"/>
          <w:b/>
          <w:bCs/>
          <w:color w:val="000000"/>
          <w:sz w:val="20"/>
          <w:szCs w:val="20"/>
        </w:rPr>
        <w:t>A oitiva de testemunha que residir em comarca, seção ou subseção judiciária diversa daquela onde tramita o processo poderá ser realizada por meio de videoconferência ou outro recurso tecnológico de transmissão e recepção de sons e imagens em tempo real, o que poderá ocorrer, inclusive, durante a audiência de instrução e julgamento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664CECE" w14:textId="77777777" w:rsidR="00685E1E" w:rsidRDefault="00685E1E" w:rsidP="00685E1E">
      <w:pPr>
        <w:pStyle w:val="NormalWeb"/>
        <w:ind w:left="2268"/>
        <w:jc w:val="both"/>
        <w:rPr>
          <w:color w:val="000000"/>
          <w:sz w:val="20"/>
          <w:szCs w:val="20"/>
        </w:rPr>
      </w:pPr>
      <w:bookmarkStart w:id="6" w:name="art453§2"/>
      <w:bookmarkEnd w:id="6"/>
      <w:r>
        <w:rPr>
          <w:rFonts w:ascii="Arial" w:hAnsi="Arial" w:cs="Arial"/>
          <w:color w:val="000000"/>
          <w:sz w:val="20"/>
          <w:szCs w:val="20"/>
        </w:rPr>
        <w:t>§ 2º Os juízos deverão manter equipamento para a transmissão e recepção de sons e imagens a que se refere o § 1º.</w:t>
      </w:r>
    </w:p>
    <w:p w14:paraId="4067BDC3" w14:textId="7486D51F" w:rsidR="0001642E" w:rsidRDefault="0001642E">
      <w:pPr>
        <w:pStyle w:val="Standard"/>
        <w:ind w:right="-81" w:firstLine="1418"/>
        <w:jc w:val="both"/>
        <w:rPr>
          <w:rFonts w:ascii="Malgun Gothic" w:hAnsi="Malgun Gothic" w:cs="Arial"/>
          <w:sz w:val="22"/>
          <w:szCs w:val="22"/>
        </w:rPr>
      </w:pPr>
    </w:p>
    <w:p w14:paraId="73AB0B2F" w14:textId="2423791E" w:rsidR="00D01602" w:rsidRDefault="00D01602">
      <w:pPr>
        <w:pStyle w:val="Standard"/>
        <w:ind w:right="-81" w:firstLine="1418"/>
        <w:jc w:val="both"/>
        <w:rPr>
          <w:rFonts w:ascii="Malgun Gothic" w:hAnsi="Malgun Gothic" w:cs="Arial"/>
          <w:sz w:val="22"/>
          <w:szCs w:val="22"/>
        </w:rPr>
      </w:pPr>
      <w:r>
        <w:rPr>
          <w:rFonts w:ascii="Malgun Gothic" w:hAnsi="Malgun Gothic" w:cs="Arial"/>
          <w:sz w:val="22"/>
          <w:szCs w:val="22"/>
        </w:rPr>
        <w:t xml:space="preserve">Diante do exposto, devolvo a ordem, para consideração superior. Dou fé. </w:t>
      </w:r>
    </w:p>
    <w:p w14:paraId="5E33F8D2" w14:textId="236CDA99" w:rsidR="00D40CD0" w:rsidRDefault="005C513C">
      <w:pPr>
        <w:pStyle w:val="Standard"/>
        <w:ind w:right="-81" w:firstLine="1418"/>
        <w:jc w:val="both"/>
        <w:rPr>
          <w:rFonts w:ascii="Malgun Gothic" w:hAnsi="Malgun Gothic" w:cs="Arial"/>
          <w:sz w:val="22"/>
          <w:szCs w:val="22"/>
        </w:rPr>
      </w:pPr>
      <w:r>
        <w:rPr>
          <w:rFonts w:ascii="Malgun Gothic" w:hAnsi="Malgun Gothic" w:cs="Arial"/>
          <w:sz w:val="22"/>
          <w:szCs w:val="22"/>
        </w:rPr>
        <w:t>XXXXX</w:t>
      </w:r>
      <w:r w:rsidR="001446A5">
        <w:rPr>
          <w:rFonts w:ascii="Malgun Gothic" w:hAnsi="Malgun Gothic" w:cs="Arial"/>
          <w:sz w:val="22"/>
          <w:szCs w:val="22"/>
        </w:rPr>
        <w:t xml:space="preserve">, </w:t>
      </w:r>
      <w:r>
        <w:rPr>
          <w:rFonts w:ascii="Malgun Gothic" w:hAnsi="Malgun Gothic" w:cs="Arial"/>
          <w:sz w:val="22"/>
          <w:szCs w:val="22"/>
        </w:rPr>
        <w:t>XX</w:t>
      </w:r>
      <w:r w:rsidR="001446A5">
        <w:rPr>
          <w:rFonts w:ascii="Malgun Gothic" w:hAnsi="Malgun Gothic" w:cs="Arial"/>
          <w:sz w:val="22"/>
          <w:szCs w:val="22"/>
        </w:rPr>
        <w:t>/</w:t>
      </w:r>
      <w:r>
        <w:rPr>
          <w:rFonts w:ascii="Malgun Gothic" w:hAnsi="Malgun Gothic" w:cs="Arial"/>
          <w:sz w:val="22"/>
          <w:szCs w:val="22"/>
        </w:rPr>
        <w:t>XX</w:t>
      </w:r>
      <w:r w:rsidR="001446A5">
        <w:rPr>
          <w:rFonts w:ascii="Malgun Gothic" w:hAnsi="Malgun Gothic" w:cs="Arial"/>
          <w:sz w:val="22"/>
          <w:szCs w:val="22"/>
        </w:rPr>
        <w:t>/</w:t>
      </w:r>
      <w:r>
        <w:rPr>
          <w:rFonts w:ascii="Malgun Gothic" w:hAnsi="Malgun Gothic" w:cs="Arial"/>
          <w:sz w:val="22"/>
          <w:szCs w:val="22"/>
        </w:rPr>
        <w:t>XXXX</w:t>
      </w:r>
      <w:r w:rsidR="001446A5">
        <w:rPr>
          <w:rFonts w:ascii="Malgun Gothic" w:hAnsi="Malgun Gothic" w:cs="Arial"/>
          <w:sz w:val="22"/>
          <w:szCs w:val="22"/>
        </w:rPr>
        <w:t>.</w:t>
      </w:r>
    </w:p>
    <w:p w14:paraId="6B994185" w14:textId="283E3A53" w:rsidR="00D40CD0" w:rsidRDefault="00D40CD0">
      <w:pPr>
        <w:pStyle w:val="Standard"/>
        <w:ind w:left="1416" w:right="-81" w:firstLine="708"/>
        <w:rPr>
          <w:rFonts w:ascii="Malgun Gothic" w:hAnsi="Malgun Gothic" w:cs="Arial"/>
          <w:sz w:val="22"/>
          <w:szCs w:val="22"/>
        </w:rPr>
      </w:pPr>
    </w:p>
    <w:p w14:paraId="7650546C" w14:textId="77777777" w:rsidR="005C513C" w:rsidRDefault="005C513C">
      <w:pPr>
        <w:pStyle w:val="Standard"/>
        <w:ind w:left="1416" w:right="-81" w:firstLine="708"/>
        <w:rPr>
          <w:rFonts w:ascii="Malgun Gothic" w:hAnsi="Malgun Gothic" w:cs="Arial"/>
          <w:sz w:val="22"/>
          <w:szCs w:val="22"/>
        </w:rPr>
      </w:pPr>
    </w:p>
    <w:p w14:paraId="71737A48" w14:textId="0C5001F5" w:rsidR="00D40CD0" w:rsidRDefault="005C513C">
      <w:pPr>
        <w:pStyle w:val="Standard"/>
        <w:ind w:left="1416" w:right="-81" w:firstLine="708"/>
        <w:rPr>
          <w:rFonts w:ascii="Malgun Gothic" w:hAnsi="Malgun Gothic" w:cs="Arial"/>
          <w:sz w:val="22"/>
          <w:szCs w:val="22"/>
        </w:rPr>
      </w:pPr>
      <w:r>
        <w:rPr>
          <w:rFonts w:ascii="Malgun Gothic" w:hAnsi="Malgun Gothic" w:cs="Arial"/>
          <w:sz w:val="22"/>
          <w:szCs w:val="22"/>
        </w:rPr>
        <w:t>XXXXXXXXXXX</w:t>
      </w:r>
      <w:r w:rsidR="001446A5">
        <w:rPr>
          <w:rFonts w:ascii="Malgun Gothic" w:hAnsi="Malgun Gothic" w:cs="Arial"/>
          <w:sz w:val="22"/>
          <w:szCs w:val="22"/>
        </w:rPr>
        <w:t>,</w:t>
      </w:r>
    </w:p>
    <w:p w14:paraId="76271CCE" w14:textId="40C70F51" w:rsidR="00D40CD0" w:rsidRDefault="001446A5">
      <w:pPr>
        <w:pStyle w:val="Standard"/>
        <w:ind w:left="1416" w:right="-81" w:firstLine="708"/>
      </w:pPr>
      <w:r>
        <w:rPr>
          <w:rFonts w:ascii="Malgun Gothic" w:hAnsi="Malgun Gothic" w:cs="Arial"/>
          <w:sz w:val="22"/>
          <w:szCs w:val="22"/>
        </w:rPr>
        <w:t>Oficial</w:t>
      </w:r>
      <w:r w:rsidR="005C513C">
        <w:rPr>
          <w:rFonts w:ascii="Malgun Gothic" w:hAnsi="Malgun Gothic" w:cs="Arial"/>
          <w:sz w:val="22"/>
          <w:szCs w:val="22"/>
        </w:rPr>
        <w:t>(a)</w:t>
      </w:r>
      <w:r>
        <w:rPr>
          <w:rFonts w:ascii="Malgun Gothic" w:hAnsi="Malgun Gothic" w:cs="Arial"/>
          <w:sz w:val="22"/>
          <w:szCs w:val="22"/>
        </w:rPr>
        <w:t xml:space="preserve"> de Justiça</w:t>
      </w:r>
    </w:p>
    <w:sectPr w:rsidR="00D40CD0">
      <w:headerReference w:type="default" r:id="rId6"/>
      <w:pgSz w:w="11905" w:h="16837"/>
      <w:pgMar w:top="2268" w:right="1820" w:bottom="1190" w:left="2319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7F30" w14:textId="77777777" w:rsidR="000863D3" w:rsidRDefault="001446A5">
      <w:r>
        <w:separator/>
      </w:r>
    </w:p>
  </w:endnote>
  <w:endnote w:type="continuationSeparator" w:id="0">
    <w:p w14:paraId="0CBEF58E" w14:textId="77777777" w:rsidR="000863D3" w:rsidRDefault="001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, 新細明體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0664" w14:textId="77777777" w:rsidR="000863D3" w:rsidRDefault="001446A5">
      <w:r>
        <w:rPr>
          <w:color w:val="000000"/>
        </w:rPr>
        <w:separator/>
      </w:r>
    </w:p>
  </w:footnote>
  <w:footnote w:type="continuationSeparator" w:id="0">
    <w:p w14:paraId="64FFD45F" w14:textId="77777777" w:rsidR="000863D3" w:rsidRDefault="0014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2B2C" w14:textId="77777777" w:rsidR="00601C9D" w:rsidRDefault="001446A5">
    <w:pPr>
      <w:pStyle w:val="Cabealho"/>
      <w:tabs>
        <w:tab w:val="clear" w:pos="4252"/>
        <w:tab w:val="clear" w:pos="8504"/>
        <w:tab w:val="center" w:pos="4419"/>
        <w:tab w:val="right" w:pos="8838"/>
      </w:tabs>
    </w:pPr>
    <w:r>
      <w:rPr>
        <w:noProof/>
      </w:rPr>
      <w:drawing>
        <wp:inline distT="0" distB="0" distL="0" distR="0" wp14:anchorId="1786C857" wp14:editId="28C06C6D">
          <wp:extent cx="4931279" cy="878039"/>
          <wp:effectExtent l="0" t="0" r="2671" b="0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1279" cy="878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D0"/>
    <w:rsid w:val="0001642E"/>
    <w:rsid w:val="000863D3"/>
    <w:rsid w:val="001446A5"/>
    <w:rsid w:val="001F1589"/>
    <w:rsid w:val="002C21EC"/>
    <w:rsid w:val="00473341"/>
    <w:rsid w:val="004E5FC8"/>
    <w:rsid w:val="005C513C"/>
    <w:rsid w:val="005E2F90"/>
    <w:rsid w:val="00685E1E"/>
    <w:rsid w:val="00714D02"/>
    <w:rsid w:val="00D01602"/>
    <w:rsid w:val="00D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F4A5"/>
  <w15:docId w15:val="{BDABC4DA-B3D8-4281-A281-72D63D8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PMingLiU, 新細明體" w:hAnsi="Times New Roman" w:cs="Times New Roman"/>
      <w:lang w:eastAsia="zh-TW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CabealhoChar1">
    <w:name w:val="Cabeçalho Char1"/>
    <w:basedOn w:val="Fontepargpadro"/>
  </w:style>
  <w:style w:type="character" w:customStyle="1" w:styleId="RodapChar1">
    <w:name w:val="Rodapé Char1"/>
    <w:basedOn w:val="Fontepargpadro"/>
  </w:style>
  <w:style w:type="character" w:styleId="Forte">
    <w:name w:val="Strong"/>
    <w:basedOn w:val="Fontepargpadro"/>
    <w:uiPriority w:val="22"/>
    <w:qFormat/>
    <w:rsid w:val="00473341"/>
    <w:rPr>
      <w:b/>
      <w:bCs/>
    </w:rPr>
  </w:style>
  <w:style w:type="character" w:styleId="nfase">
    <w:name w:val="Emphasis"/>
    <w:basedOn w:val="Fontepargpadro"/>
    <w:uiPriority w:val="20"/>
    <w:qFormat/>
    <w:rsid w:val="0001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64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Tribunal de</dc:creator>
  <cp:lastModifiedBy>Helena Veiga</cp:lastModifiedBy>
  <cp:revision>6</cp:revision>
  <dcterms:created xsi:type="dcterms:W3CDTF">2022-04-18T15:00:00Z</dcterms:created>
  <dcterms:modified xsi:type="dcterms:W3CDTF">2023-07-03T22:40:00Z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